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0E" w:rsidRDefault="00327769">
      <w:pPr>
        <w:spacing w:line="320" w:lineRule="exact"/>
        <w:jc w:val="center"/>
        <w:rPr>
          <w:rFonts w:ascii="Arial" w:hAnsi="Arial"/>
          <w:b/>
          <w:sz w:val="28"/>
        </w:rPr>
      </w:pPr>
      <w:bookmarkStart w:id="0" w:name="OLE_LINK1"/>
      <w:bookmarkStart w:id="1" w:name="OLE_LINK2"/>
      <w:r>
        <w:rPr>
          <w:rFonts w:ascii="Arial" w:hAnsi="Arial"/>
          <w:b/>
          <w:sz w:val="28"/>
        </w:rPr>
        <w:t>ABET ASSESSMENT</w:t>
      </w:r>
    </w:p>
    <w:p w:rsidR="009B5F0E" w:rsidRDefault="00327769">
      <w:pPr>
        <w:spacing w:line="320" w:lineRule="exact"/>
        <w:jc w:val="center"/>
        <w:rPr>
          <w:rFonts w:ascii="Arial" w:hAnsi="Arial"/>
          <w:b/>
          <w:sz w:val="28"/>
        </w:rPr>
      </w:pPr>
      <w:r>
        <w:rPr>
          <w:rFonts w:ascii="Arial" w:hAnsi="Arial"/>
          <w:b/>
          <w:sz w:val="28"/>
        </w:rPr>
        <w:t>Department of Materials Science and Engineering</w:t>
      </w:r>
    </w:p>
    <w:p w:rsidR="009B5F0E" w:rsidRDefault="00327769">
      <w:pPr>
        <w:pStyle w:val="Heading4"/>
        <w:spacing w:after="0" w:line="320" w:lineRule="exact"/>
        <w:rPr>
          <w:b/>
          <w:sz w:val="28"/>
        </w:rPr>
      </w:pPr>
      <w:r>
        <w:rPr>
          <w:b/>
          <w:sz w:val="28"/>
        </w:rPr>
        <w:t>Guidelines for Instructors</w:t>
      </w:r>
    </w:p>
    <w:p w:rsidR="009B5F0E" w:rsidRDefault="00327769">
      <w:pPr>
        <w:spacing w:line="280" w:lineRule="exact"/>
        <w:jc w:val="both"/>
      </w:pPr>
    </w:p>
    <w:p w:rsidR="00710384" w:rsidRDefault="00327769">
      <w:pPr>
        <w:spacing w:line="280" w:lineRule="exact"/>
        <w:jc w:val="both"/>
        <w:rPr>
          <w:rFonts w:ascii="Times New Roman" w:hAnsi="Times New Roman"/>
        </w:rPr>
      </w:pPr>
      <w:r>
        <w:rPr>
          <w:rFonts w:ascii="Times New Roman" w:hAnsi="Times New Roman"/>
        </w:rPr>
        <w:t xml:space="preserve">We must collect ABET assessment data on a two-year cycle for </w:t>
      </w:r>
      <w:r>
        <w:rPr>
          <w:rFonts w:ascii="Times New Roman" w:hAnsi="Times New Roman"/>
        </w:rPr>
        <w:t>all</w:t>
      </w:r>
      <w:r>
        <w:rPr>
          <w:rFonts w:ascii="Times New Roman" w:hAnsi="Times New Roman"/>
        </w:rPr>
        <w:t xml:space="preserve"> of our undergraduate courses</w:t>
      </w:r>
      <w:r>
        <w:rPr>
          <w:rFonts w:ascii="Times New Roman" w:hAnsi="Times New Roman"/>
        </w:rPr>
        <w:t xml:space="preserve"> except MSE 200, 201 and 203</w:t>
      </w:r>
      <w:r>
        <w:rPr>
          <w:rFonts w:ascii="Times New Roman" w:hAnsi="Times New Roman"/>
        </w:rPr>
        <w:t>. This data takes the form of selected home</w:t>
      </w:r>
      <w:r>
        <w:rPr>
          <w:rFonts w:ascii="Times New Roman" w:hAnsi="Times New Roman"/>
        </w:rPr>
        <w:t xml:space="preserve">work and exam questions for lecture courses and completion of the lab report assessment rubric for lab courses. </w:t>
      </w:r>
      <w:r>
        <w:rPr>
          <w:rFonts w:ascii="Times New Roman" w:hAnsi="Times New Roman"/>
          <w:i/>
        </w:rPr>
        <w:t xml:space="preserve">Please note that this data must be collected </w:t>
      </w:r>
      <w:r>
        <w:rPr>
          <w:rFonts w:ascii="Times New Roman" w:hAnsi="Times New Roman"/>
          <w:b/>
          <w:i/>
        </w:rPr>
        <w:t>for every student during the semester</w:t>
      </w:r>
      <w:r>
        <w:rPr>
          <w:rFonts w:ascii="Times New Roman" w:hAnsi="Times New Roman"/>
          <w:i/>
        </w:rPr>
        <w:t xml:space="preserve"> before homework/exam/lab reports are returned to the students</w:t>
      </w:r>
      <w:r>
        <w:rPr>
          <w:rFonts w:ascii="Times New Roman" w:hAnsi="Times New Roman"/>
          <w:i/>
        </w:rPr>
        <w:t>. Unless you plan to keep a copy of everything your students turn in, this cannot be done retroactively at the end of the semester.</w:t>
      </w:r>
    </w:p>
    <w:p w:rsidR="009B5F0E" w:rsidRDefault="00327769">
      <w:pPr>
        <w:spacing w:line="280" w:lineRule="exact"/>
        <w:jc w:val="both"/>
        <w:rPr>
          <w:rFonts w:ascii="Times New Roman" w:hAnsi="Times New Roman"/>
          <w:i/>
        </w:rPr>
      </w:pPr>
    </w:p>
    <w:p w:rsidR="009B5F0E" w:rsidRDefault="00327769">
      <w:pPr>
        <w:spacing w:line="280" w:lineRule="exact"/>
        <w:jc w:val="both"/>
        <w:rPr>
          <w:rFonts w:ascii="Times New Roman" w:hAnsi="Times New Roman"/>
        </w:rPr>
      </w:pPr>
      <w:r>
        <w:rPr>
          <w:rFonts w:ascii="Times New Roman" w:hAnsi="Times New Roman"/>
        </w:rPr>
        <w:t>A</w:t>
      </w:r>
      <w:r>
        <w:rPr>
          <w:rFonts w:ascii="Times New Roman" w:hAnsi="Times New Roman"/>
        </w:rPr>
        <w:t>ssessment data must be collected for the following courses:</w:t>
      </w:r>
    </w:p>
    <w:p w:rsidR="009B5F0E" w:rsidRDefault="00327769">
      <w:pPr>
        <w:spacing w:line="280" w:lineRule="exact"/>
        <w:jc w:val="both"/>
        <w:rPr>
          <w:rFonts w:ascii="Times New Roman" w:hAnsi="Times New Roman"/>
        </w:rPr>
      </w:pPr>
    </w:p>
    <w:p w:rsidR="009B5F0E" w:rsidRDefault="00327769">
      <w:pPr>
        <w:tabs>
          <w:tab w:val="left" w:pos="2160"/>
        </w:tabs>
        <w:spacing w:line="280" w:lineRule="exact"/>
        <w:jc w:val="both"/>
        <w:rPr>
          <w:rFonts w:ascii="Times New Roman" w:hAnsi="Times New Roman"/>
          <w:b/>
        </w:rPr>
      </w:pPr>
      <w:r>
        <w:rPr>
          <w:rFonts w:ascii="Times New Roman" w:hAnsi="Times New Roman"/>
          <w:b/>
        </w:rPr>
        <w:t>Fall semester:</w:t>
      </w:r>
      <w:r>
        <w:rPr>
          <w:rFonts w:ascii="Times New Roman" w:hAnsi="Times New Roman"/>
          <w:b/>
        </w:rPr>
        <w:tab/>
        <w:t>MSE 3</w:t>
      </w:r>
      <w:r>
        <w:rPr>
          <w:rFonts w:ascii="Times New Roman" w:hAnsi="Times New Roman"/>
          <w:b/>
        </w:rPr>
        <w:t>0</w:t>
      </w:r>
      <w:r>
        <w:rPr>
          <w:rFonts w:ascii="Times New Roman" w:hAnsi="Times New Roman"/>
          <w:b/>
        </w:rPr>
        <w:t xml:space="preserve">0, </w:t>
      </w:r>
      <w:r>
        <w:rPr>
          <w:rFonts w:ascii="Times New Roman" w:hAnsi="Times New Roman"/>
          <w:b/>
        </w:rPr>
        <w:t>301</w:t>
      </w:r>
      <w:r>
        <w:rPr>
          <w:rFonts w:ascii="Times New Roman" w:hAnsi="Times New Roman"/>
          <w:b/>
        </w:rPr>
        <w:t xml:space="preserve">, </w:t>
      </w:r>
      <w:r>
        <w:rPr>
          <w:rFonts w:ascii="Times New Roman" w:hAnsi="Times New Roman"/>
          <w:b/>
        </w:rPr>
        <w:t>320</w:t>
      </w:r>
      <w:r>
        <w:rPr>
          <w:rFonts w:ascii="Times New Roman" w:hAnsi="Times New Roman"/>
          <w:b/>
        </w:rPr>
        <w:t xml:space="preserve">, </w:t>
      </w:r>
      <w:r>
        <w:rPr>
          <w:rFonts w:ascii="Times New Roman" w:hAnsi="Times New Roman"/>
          <w:b/>
        </w:rPr>
        <w:t>335</w:t>
      </w:r>
      <w:r>
        <w:rPr>
          <w:rFonts w:ascii="Times New Roman" w:hAnsi="Times New Roman"/>
          <w:b/>
        </w:rPr>
        <w:t xml:space="preserve">, </w:t>
      </w:r>
      <w:r>
        <w:rPr>
          <w:rFonts w:ascii="Times New Roman" w:hAnsi="Times New Roman"/>
          <w:b/>
        </w:rPr>
        <w:t>420</w:t>
      </w:r>
      <w:r>
        <w:rPr>
          <w:rFonts w:ascii="Times New Roman" w:hAnsi="Times New Roman"/>
          <w:b/>
        </w:rPr>
        <w:t xml:space="preserve">, </w:t>
      </w:r>
      <w:r>
        <w:rPr>
          <w:rFonts w:ascii="Times New Roman" w:hAnsi="Times New Roman"/>
          <w:b/>
        </w:rPr>
        <w:t>423</w:t>
      </w:r>
      <w:r>
        <w:rPr>
          <w:rFonts w:ascii="Times New Roman" w:hAnsi="Times New Roman"/>
          <w:b/>
        </w:rPr>
        <w:t xml:space="preserve">, </w:t>
      </w:r>
      <w:r>
        <w:rPr>
          <w:rFonts w:ascii="Times New Roman" w:hAnsi="Times New Roman"/>
          <w:b/>
        </w:rPr>
        <w:t>440, 445</w:t>
      </w:r>
      <w:r>
        <w:rPr>
          <w:rFonts w:ascii="Times New Roman" w:hAnsi="Times New Roman"/>
          <w:b/>
        </w:rPr>
        <w:t xml:space="preserve">, </w:t>
      </w:r>
      <w:r>
        <w:rPr>
          <w:rFonts w:ascii="Times New Roman" w:hAnsi="Times New Roman"/>
          <w:b/>
        </w:rPr>
        <w:t>46</w:t>
      </w:r>
      <w:r>
        <w:rPr>
          <w:rFonts w:ascii="Times New Roman" w:hAnsi="Times New Roman"/>
          <w:b/>
        </w:rPr>
        <w:t>0</w:t>
      </w:r>
    </w:p>
    <w:p w:rsidR="009B5F0E" w:rsidRDefault="00327769">
      <w:pPr>
        <w:tabs>
          <w:tab w:val="left" w:pos="2160"/>
        </w:tabs>
        <w:spacing w:line="280" w:lineRule="exact"/>
        <w:jc w:val="both"/>
        <w:rPr>
          <w:rFonts w:ascii="Times New Roman" w:hAnsi="Times New Roman"/>
          <w:b/>
        </w:rPr>
      </w:pPr>
      <w:r>
        <w:rPr>
          <w:rFonts w:ascii="Times New Roman" w:hAnsi="Times New Roman"/>
          <w:b/>
        </w:rPr>
        <w:t>Spring semester:</w:t>
      </w:r>
      <w:r>
        <w:rPr>
          <w:rFonts w:ascii="Times New Roman" w:hAnsi="Times New Roman"/>
          <w:b/>
        </w:rPr>
        <w:tab/>
        <w:t xml:space="preserve">MSE </w:t>
      </w:r>
      <w:r>
        <w:rPr>
          <w:rFonts w:ascii="Times New Roman" w:hAnsi="Times New Roman"/>
          <w:b/>
        </w:rPr>
        <w:t>255</w:t>
      </w:r>
      <w:r>
        <w:rPr>
          <w:rFonts w:ascii="Times New Roman" w:hAnsi="Times New Roman"/>
          <w:b/>
        </w:rPr>
        <w:t xml:space="preserve">, </w:t>
      </w:r>
      <w:r>
        <w:rPr>
          <w:rFonts w:ascii="Times New Roman" w:hAnsi="Times New Roman"/>
          <w:b/>
        </w:rPr>
        <w:t>260</w:t>
      </w:r>
      <w:r>
        <w:rPr>
          <w:rFonts w:ascii="Times New Roman" w:hAnsi="Times New Roman"/>
          <w:b/>
        </w:rPr>
        <w:t xml:space="preserve">, </w:t>
      </w:r>
      <w:r>
        <w:rPr>
          <w:rFonts w:ascii="Times New Roman" w:hAnsi="Times New Roman"/>
          <w:b/>
        </w:rPr>
        <w:t>270</w:t>
      </w:r>
      <w:r>
        <w:rPr>
          <w:rFonts w:ascii="Times New Roman" w:hAnsi="Times New Roman"/>
          <w:b/>
        </w:rPr>
        <w:t xml:space="preserve">, </w:t>
      </w:r>
      <w:r>
        <w:rPr>
          <w:rFonts w:ascii="Times New Roman" w:hAnsi="Times New Roman"/>
          <w:b/>
        </w:rPr>
        <w:t>355</w:t>
      </w:r>
      <w:r>
        <w:rPr>
          <w:rFonts w:ascii="Times New Roman" w:hAnsi="Times New Roman"/>
          <w:b/>
        </w:rPr>
        <w:t xml:space="preserve">, </w:t>
      </w:r>
      <w:r>
        <w:rPr>
          <w:rFonts w:ascii="Times New Roman" w:hAnsi="Times New Roman"/>
          <w:b/>
        </w:rPr>
        <w:t>360</w:t>
      </w:r>
      <w:r>
        <w:rPr>
          <w:rFonts w:ascii="Times New Roman" w:hAnsi="Times New Roman"/>
          <w:b/>
        </w:rPr>
        <w:t xml:space="preserve">, </w:t>
      </w:r>
      <w:r>
        <w:rPr>
          <w:rFonts w:ascii="Times New Roman" w:hAnsi="Times New Roman"/>
          <w:b/>
        </w:rPr>
        <w:t>370</w:t>
      </w:r>
      <w:r>
        <w:rPr>
          <w:rFonts w:ascii="Times New Roman" w:hAnsi="Times New Roman"/>
          <w:b/>
        </w:rPr>
        <w:t xml:space="preserve">, </w:t>
      </w:r>
      <w:r>
        <w:rPr>
          <w:rFonts w:ascii="Times New Roman" w:hAnsi="Times New Roman"/>
          <w:b/>
        </w:rPr>
        <w:t>380, 455, 456, 470</w:t>
      </w:r>
      <w:r>
        <w:rPr>
          <w:rFonts w:ascii="Times New Roman" w:hAnsi="Times New Roman"/>
          <w:b/>
        </w:rPr>
        <w:t xml:space="preserve">, </w:t>
      </w:r>
      <w:r>
        <w:rPr>
          <w:rFonts w:ascii="Times New Roman" w:hAnsi="Times New Roman"/>
          <w:b/>
        </w:rPr>
        <w:t>480</w:t>
      </w:r>
    </w:p>
    <w:p w:rsidR="009B5F0E" w:rsidRDefault="00327769">
      <w:pPr>
        <w:tabs>
          <w:tab w:val="left" w:pos="2160"/>
        </w:tabs>
        <w:spacing w:line="280" w:lineRule="exact"/>
        <w:jc w:val="both"/>
        <w:rPr>
          <w:rFonts w:ascii="Times New Roman" w:hAnsi="Times New Roman"/>
        </w:rPr>
      </w:pPr>
    </w:p>
    <w:p w:rsidR="009B5F0E" w:rsidRDefault="00327769">
      <w:pPr>
        <w:spacing w:line="280" w:lineRule="exact"/>
        <w:jc w:val="both"/>
        <w:rPr>
          <w:rFonts w:ascii="Times New Roman" w:hAnsi="Times New Roman"/>
        </w:rPr>
      </w:pPr>
      <w:r>
        <w:rPr>
          <w:rFonts w:ascii="Times New Roman" w:hAnsi="Times New Roman"/>
          <w:i/>
        </w:rPr>
        <w:t>Please</w:t>
      </w:r>
      <w:r>
        <w:rPr>
          <w:rFonts w:ascii="Times New Roman" w:hAnsi="Times New Roman"/>
          <w:i/>
        </w:rPr>
        <w:t xml:space="preserve"> </w:t>
      </w:r>
      <w:r w:rsidRPr="00E17640">
        <w:rPr>
          <w:rFonts w:ascii="Times New Roman" w:hAnsi="Times New Roman"/>
          <w:i/>
        </w:rPr>
        <w:t xml:space="preserve">collect your assessment data during the first year </w:t>
      </w:r>
      <w:r>
        <w:rPr>
          <w:rFonts w:ascii="Times New Roman" w:hAnsi="Times New Roman"/>
          <w:i/>
        </w:rPr>
        <w:t>of each</w:t>
      </w:r>
      <w:r w:rsidRPr="00E17640">
        <w:rPr>
          <w:rFonts w:ascii="Times New Roman" w:hAnsi="Times New Roman"/>
          <w:i/>
        </w:rPr>
        <w:t xml:space="preserve"> 2-year cycle.</w:t>
      </w:r>
      <w:r>
        <w:rPr>
          <w:rFonts w:ascii="Times New Roman" w:hAnsi="Times New Roman"/>
        </w:rPr>
        <w:t xml:space="preserve"> Your assessment data must address the program learning outcomes for your course(s), which are list</w:t>
      </w:r>
      <w:r>
        <w:rPr>
          <w:rFonts w:ascii="Times New Roman" w:hAnsi="Times New Roman"/>
        </w:rPr>
        <w:t xml:space="preserve">ed on the following pages. </w:t>
      </w:r>
      <w:r>
        <w:rPr>
          <w:rFonts w:ascii="Times New Roman" w:hAnsi="Times New Roman"/>
        </w:rPr>
        <w:t xml:space="preserve">These have been recently revised to be consistent with the new MSE curriculum. </w:t>
      </w:r>
      <w:r>
        <w:rPr>
          <w:rFonts w:ascii="Times New Roman" w:hAnsi="Times New Roman"/>
        </w:rPr>
        <w:t xml:space="preserve">Please follow the guidelines below and </w:t>
      </w:r>
      <w:r>
        <w:rPr>
          <w:rFonts w:ascii="Times New Roman" w:hAnsi="Times New Roman"/>
        </w:rPr>
        <w:t>record your data in</w:t>
      </w:r>
      <w:r>
        <w:rPr>
          <w:rFonts w:ascii="Times New Roman" w:hAnsi="Times New Roman"/>
        </w:rPr>
        <w:t xml:space="preserve"> the Excel spreadsheet templates which are posted on the MSE website for lecture and lab cou</w:t>
      </w:r>
      <w:r>
        <w:rPr>
          <w:rFonts w:ascii="Times New Roman" w:hAnsi="Times New Roman"/>
        </w:rPr>
        <w:t>rses. Email the completed spreadsheets to me at the end of the semester (balik@ncsu.edu). I am available to answer any questions.</w:t>
      </w:r>
    </w:p>
    <w:p w:rsidR="009B5F0E" w:rsidRDefault="00327769">
      <w:pPr>
        <w:spacing w:line="280" w:lineRule="exact"/>
        <w:jc w:val="both"/>
        <w:rPr>
          <w:rFonts w:ascii="Times New Roman" w:hAnsi="Times New Roman"/>
        </w:rPr>
      </w:pPr>
    </w:p>
    <w:p w:rsidR="009B5F0E" w:rsidRDefault="00327769">
      <w:pPr>
        <w:spacing w:line="280" w:lineRule="exact"/>
        <w:jc w:val="both"/>
        <w:rPr>
          <w:rFonts w:ascii="Times New Roman" w:hAnsi="Times New Roman"/>
        </w:rPr>
      </w:pPr>
      <w:r>
        <w:rPr>
          <w:rFonts w:ascii="Times New Roman" w:hAnsi="Times New Roman"/>
        </w:rPr>
        <w:t>We need everyone’s participation in this process to receive ABET accreditation for our program. Thanks in advance for doing y</w:t>
      </w:r>
      <w:r>
        <w:rPr>
          <w:rFonts w:ascii="Times New Roman" w:hAnsi="Times New Roman"/>
        </w:rPr>
        <w:t>our part by completing the assessment data collection in a timely manner.</w:t>
      </w:r>
    </w:p>
    <w:bookmarkEnd w:id="0"/>
    <w:bookmarkEnd w:id="1"/>
    <w:p w:rsidR="009B5F0E" w:rsidRDefault="00327769">
      <w:pPr>
        <w:spacing w:line="280" w:lineRule="exact"/>
        <w:jc w:val="both"/>
        <w:rPr>
          <w:rFonts w:ascii="Times New Roman" w:hAnsi="Times New Roman"/>
        </w:rPr>
      </w:pPr>
    </w:p>
    <w:p w:rsidR="009B5F0E" w:rsidRDefault="00327769">
      <w:pPr>
        <w:spacing w:line="280" w:lineRule="exact"/>
        <w:jc w:val="both"/>
        <w:rPr>
          <w:rFonts w:ascii="Times New Roman" w:hAnsi="Times New Roman"/>
          <w:i/>
        </w:rPr>
      </w:pPr>
      <w:r>
        <w:rPr>
          <w:rFonts w:ascii="Times New Roman" w:hAnsi="Times New Roman"/>
          <w:i/>
        </w:rPr>
        <w:t>Collection of assessment data for lecture courses:</w:t>
      </w:r>
    </w:p>
    <w:p w:rsidR="009B5F0E" w:rsidRDefault="00327769">
      <w:pPr>
        <w:spacing w:line="280" w:lineRule="exact"/>
        <w:jc w:val="both"/>
        <w:rPr>
          <w:rFonts w:ascii="Times New Roman" w:hAnsi="Times New Roman"/>
        </w:rPr>
      </w:pPr>
      <w:r>
        <w:rPr>
          <w:rFonts w:ascii="Times New Roman" w:hAnsi="Times New Roman"/>
        </w:rPr>
        <w:t>Use the Excel template for lecture courses.</w:t>
      </w:r>
      <w:r>
        <w:rPr>
          <w:rFonts w:ascii="Times New Roman" w:hAnsi="Times New Roman"/>
        </w:rPr>
        <w:t xml:space="preserve"> Find your course in the table on page 3 of this document and determine which MSE learn</w:t>
      </w:r>
      <w:r>
        <w:rPr>
          <w:rFonts w:ascii="Times New Roman" w:hAnsi="Times New Roman"/>
        </w:rPr>
        <w:t xml:space="preserve">ing outcome(s) are addressed by your course. Note that some courses address more than one outcome. </w:t>
      </w:r>
      <w:r>
        <w:rPr>
          <w:rFonts w:ascii="Times New Roman" w:hAnsi="Times New Roman"/>
          <w:i/>
        </w:rPr>
        <w:t>Prepare a separate spreadsheet for each outcome, and put these spreadsheets in a single Excel workbook for each course.</w:t>
      </w:r>
      <w:r>
        <w:rPr>
          <w:rFonts w:ascii="Times New Roman" w:hAnsi="Times New Roman"/>
        </w:rPr>
        <w:t xml:space="preserve"> Please select </w:t>
      </w:r>
      <w:r>
        <w:rPr>
          <w:rFonts w:ascii="Times New Roman" w:hAnsi="Times New Roman"/>
        </w:rPr>
        <w:t xml:space="preserve">a total of </w:t>
      </w:r>
      <w:r>
        <w:rPr>
          <w:rFonts w:ascii="Times New Roman" w:hAnsi="Times New Roman"/>
        </w:rPr>
        <w:t xml:space="preserve">5 to </w:t>
      </w:r>
      <w:r>
        <w:rPr>
          <w:rFonts w:ascii="Times New Roman" w:hAnsi="Times New Roman"/>
        </w:rPr>
        <w:t>10 home</w:t>
      </w:r>
      <w:r>
        <w:rPr>
          <w:rFonts w:ascii="Times New Roman" w:hAnsi="Times New Roman"/>
        </w:rPr>
        <w:t>work and/or exam problems that address each outcome</w:t>
      </w:r>
      <w:r>
        <w:rPr>
          <w:rFonts w:ascii="Times New Roman" w:hAnsi="Times New Roman"/>
        </w:rPr>
        <w:t>. Use more problems if you have a small class (&lt; 10 students).</w:t>
      </w:r>
      <w:r>
        <w:rPr>
          <w:rFonts w:ascii="Times New Roman" w:hAnsi="Times New Roman"/>
        </w:rPr>
        <w:t xml:space="preserve"> </w:t>
      </w:r>
      <w:r>
        <w:rPr>
          <w:rFonts w:ascii="Times New Roman" w:hAnsi="Times New Roman"/>
        </w:rPr>
        <w:t>S</w:t>
      </w:r>
      <w:r>
        <w:rPr>
          <w:rFonts w:ascii="Times New Roman" w:hAnsi="Times New Roman"/>
        </w:rPr>
        <w:t xml:space="preserve">ummarize the </w:t>
      </w:r>
      <w:r>
        <w:rPr>
          <w:rFonts w:ascii="Times New Roman" w:hAnsi="Times New Roman"/>
        </w:rPr>
        <w:t>topic addressed by</w:t>
      </w:r>
      <w:r>
        <w:rPr>
          <w:rFonts w:ascii="Times New Roman" w:hAnsi="Times New Roman"/>
        </w:rPr>
        <w:t xml:space="preserve"> </w:t>
      </w:r>
      <w:r>
        <w:rPr>
          <w:rFonts w:ascii="Times New Roman" w:hAnsi="Times New Roman"/>
        </w:rPr>
        <w:t>each problem</w:t>
      </w:r>
      <w:r>
        <w:rPr>
          <w:rFonts w:ascii="Times New Roman" w:hAnsi="Times New Roman"/>
        </w:rPr>
        <w:t xml:space="preserve"> in the first column of the spreadsheet. Give each student a 1 if they have the problem essential</w:t>
      </w:r>
      <w:r>
        <w:rPr>
          <w:rFonts w:ascii="Times New Roman" w:hAnsi="Times New Roman"/>
        </w:rPr>
        <w:t>ly correct, and a 0 if it isn’t correct. Students that don’t complete an assignment shouldn’t be counted (leave that box blank). The percent correct is automatically calculated on the spreadsheet.</w:t>
      </w:r>
    </w:p>
    <w:p w:rsidR="009B5F0E" w:rsidRDefault="00327769">
      <w:pPr>
        <w:spacing w:line="280" w:lineRule="exact"/>
        <w:jc w:val="both"/>
        <w:rPr>
          <w:rFonts w:ascii="Times New Roman" w:hAnsi="Times New Roman"/>
        </w:rPr>
      </w:pPr>
    </w:p>
    <w:p w:rsidR="009B5F0E" w:rsidRDefault="00327769">
      <w:pPr>
        <w:spacing w:line="280" w:lineRule="exact"/>
        <w:jc w:val="both"/>
        <w:rPr>
          <w:rFonts w:ascii="Times New Roman" w:hAnsi="Times New Roman"/>
          <w:i/>
        </w:rPr>
      </w:pPr>
      <w:r>
        <w:rPr>
          <w:rFonts w:ascii="Times New Roman" w:hAnsi="Times New Roman"/>
          <w:i/>
        </w:rPr>
        <w:t>Collection of assessment data for lab courses:</w:t>
      </w:r>
    </w:p>
    <w:p w:rsidR="009B5F0E" w:rsidRDefault="00327769">
      <w:pPr>
        <w:spacing w:line="280" w:lineRule="exact"/>
        <w:jc w:val="both"/>
        <w:rPr>
          <w:rFonts w:ascii="Times New Roman" w:hAnsi="Times New Roman"/>
        </w:rPr>
      </w:pPr>
      <w:r>
        <w:rPr>
          <w:rFonts w:ascii="Times New Roman" w:hAnsi="Times New Roman"/>
        </w:rPr>
        <w:t>Use the lab</w:t>
      </w:r>
      <w:r>
        <w:rPr>
          <w:rFonts w:ascii="Times New Roman" w:hAnsi="Times New Roman"/>
        </w:rPr>
        <w:t xml:space="preserve"> report rubric on the MSE website to evaluate lab reports. This one rubric covers all the outcomes for any lab course. All MSE lab reports should use a common format containing an Abstract, </w:t>
      </w:r>
      <w:r>
        <w:rPr>
          <w:rFonts w:ascii="Times New Roman" w:hAnsi="Times New Roman"/>
        </w:rPr>
        <w:t xml:space="preserve">Introduction, </w:t>
      </w:r>
      <w:r>
        <w:rPr>
          <w:rFonts w:ascii="Times New Roman" w:hAnsi="Times New Roman"/>
        </w:rPr>
        <w:t>Experimental, Results, Discu</w:t>
      </w:r>
      <w:r>
        <w:rPr>
          <w:rFonts w:ascii="Times New Roman" w:hAnsi="Times New Roman"/>
        </w:rPr>
        <w:t>ssion and Conclusions se</w:t>
      </w:r>
      <w:r>
        <w:rPr>
          <w:rFonts w:ascii="Times New Roman" w:hAnsi="Times New Roman"/>
        </w:rPr>
        <w:t>ctions</w:t>
      </w:r>
      <w:r>
        <w:rPr>
          <w:rFonts w:ascii="Times New Roman" w:hAnsi="Times New Roman"/>
        </w:rPr>
        <w:t xml:space="preserve">. </w:t>
      </w:r>
      <w:r>
        <w:rPr>
          <w:rFonts w:ascii="Times New Roman" w:hAnsi="Times New Roman"/>
        </w:rPr>
        <w:t>Each lab report should be rated according to the rubric with a 1, 2, 3 or 4 in each category. This can be done by the TA assigned to each lab course. Use the Excel lab template provided on the MSE website to record the data. This template has 10 sp</w:t>
      </w:r>
      <w:r>
        <w:rPr>
          <w:rFonts w:ascii="Times New Roman" w:hAnsi="Times New Roman"/>
        </w:rPr>
        <w:t>readsheets to accomodate up to 10 lab reports.</w:t>
      </w:r>
    </w:p>
    <w:p w:rsidR="008235E6" w:rsidRDefault="00327769">
      <w:pPr>
        <w:spacing w:line="280" w:lineRule="exact"/>
        <w:jc w:val="both"/>
        <w:rPr>
          <w:rFonts w:ascii="Times New Roman" w:hAnsi="Times New Roman"/>
        </w:rPr>
      </w:pPr>
    </w:p>
    <w:p w:rsidR="009B5F0E" w:rsidRDefault="00327769">
      <w:pPr>
        <w:spacing w:line="280" w:lineRule="exact"/>
        <w:jc w:val="both"/>
        <w:rPr>
          <w:rFonts w:ascii="Times New Roman" w:hAnsi="Times New Roman"/>
          <w:i/>
        </w:rPr>
      </w:pPr>
      <w:r>
        <w:rPr>
          <w:rFonts w:ascii="Times New Roman" w:hAnsi="Times New Roman"/>
          <w:i/>
        </w:rPr>
        <w:t xml:space="preserve">Collection of assessment data for MSE </w:t>
      </w:r>
      <w:r>
        <w:rPr>
          <w:rFonts w:ascii="Times New Roman" w:hAnsi="Times New Roman"/>
          <w:i/>
        </w:rPr>
        <w:t xml:space="preserve">270, </w:t>
      </w:r>
      <w:r>
        <w:rPr>
          <w:rFonts w:ascii="Times New Roman" w:hAnsi="Times New Roman"/>
          <w:i/>
        </w:rPr>
        <w:t xml:space="preserve">423, </w:t>
      </w:r>
      <w:r>
        <w:rPr>
          <w:rFonts w:ascii="Times New Roman" w:hAnsi="Times New Roman"/>
          <w:i/>
        </w:rPr>
        <w:t>470</w:t>
      </w:r>
      <w:r>
        <w:rPr>
          <w:rFonts w:ascii="Times New Roman" w:hAnsi="Times New Roman"/>
          <w:i/>
        </w:rPr>
        <w:t>:</w:t>
      </w:r>
    </w:p>
    <w:p w:rsidR="009B5F0E" w:rsidRDefault="00327769">
      <w:pPr>
        <w:spacing w:line="280" w:lineRule="exact"/>
        <w:jc w:val="both"/>
        <w:rPr>
          <w:rFonts w:ascii="Times New Roman" w:hAnsi="Times New Roman"/>
        </w:rPr>
      </w:pPr>
      <w:r>
        <w:rPr>
          <w:rFonts w:ascii="Times New Roman" w:hAnsi="Times New Roman"/>
        </w:rPr>
        <w:t>These courses utilize other assessment methods. Please record your data in spreadsheet format.</w:t>
      </w:r>
    </w:p>
    <w:p w:rsidR="00934367" w:rsidRDefault="00327769" w:rsidP="00F66ED0">
      <w:pPr>
        <w:pStyle w:val="Title"/>
        <w:spacing w:line="320" w:lineRule="exact"/>
        <w:rPr>
          <w:rFonts w:ascii="Arial" w:hAnsi="Arial"/>
        </w:rPr>
      </w:pPr>
      <w:r>
        <w:rPr>
          <w:rFonts w:ascii="Arial" w:hAnsi="Arial"/>
        </w:rPr>
        <w:br w:type="page"/>
      </w:r>
      <w:r>
        <w:rPr>
          <w:rFonts w:ascii="Arial" w:hAnsi="Arial"/>
        </w:rPr>
        <w:t xml:space="preserve">MSE PROGRAM LEARNING </w:t>
      </w:r>
      <w:r>
        <w:rPr>
          <w:rFonts w:ascii="Arial" w:hAnsi="Arial"/>
        </w:rPr>
        <w:t>OUTCOMES</w:t>
      </w:r>
    </w:p>
    <w:p w:rsidR="00F66ED0" w:rsidRDefault="00F66ED0">
      <w:pPr>
        <w:pStyle w:val="Title"/>
        <w:spacing w:line="320" w:lineRule="exact"/>
        <w:rPr>
          <w:rFonts w:ascii="Arial" w:hAnsi="Arial"/>
        </w:rPr>
      </w:pPr>
    </w:p>
    <w:p w:rsidR="00F66ED0" w:rsidRDefault="00F66ED0">
      <w:pPr>
        <w:pStyle w:val="Title"/>
        <w:spacing w:line="320" w:lineRule="exact"/>
        <w:rPr>
          <w:rFonts w:ascii="Arial" w:hAnsi="Arial"/>
        </w:rPr>
      </w:pPr>
    </w:p>
    <w:p w:rsidR="00F66ED0" w:rsidRPr="00934367" w:rsidRDefault="00F66ED0" w:rsidP="00F66ED0">
      <w:pPr>
        <w:spacing w:after="60"/>
        <w:ind w:left="360" w:right="576"/>
        <w:jc w:val="both"/>
        <w:rPr>
          <w:rFonts w:ascii="Times New Roman" w:hAnsi="Times New Roman"/>
        </w:rPr>
      </w:pPr>
      <w:r>
        <w:rPr>
          <w:rFonts w:ascii="Times New Roman" w:hAnsi="Times New Roman"/>
        </w:rPr>
        <w:t>1</w:t>
      </w:r>
      <w:r w:rsidRPr="00934367">
        <w:rPr>
          <w:rFonts w:ascii="Times New Roman" w:hAnsi="Times New Roman"/>
        </w:rPr>
        <w:t>. By graduation, students will be able to apply the basic mathematical skills needed to solve routine problems within the discipline of MSE.</w:t>
      </w:r>
    </w:p>
    <w:p w:rsidR="00F66ED0" w:rsidRPr="00934367" w:rsidRDefault="00F66ED0" w:rsidP="00F66ED0">
      <w:pPr>
        <w:spacing w:after="60"/>
        <w:ind w:left="360" w:right="576"/>
        <w:jc w:val="both"/>
        <w:rPr>
          <w:rFonts w:ascii="Times New Roman" w:hAnsi="Times New Roman"/>
        </w:rPr>
      </w:pPr>
      <w:r>
        <w:rPr>
          <w:rFonts w:ascii="Times New Roman" w:hAnsi="Times New Roman"/>
        </w:rPr>
        <w:t>2</w:t>
      </w:r>
      <w:r w:rsidRPr="00934367">
        <w:rPr>
          <w:rFonts w:ascii="Times New Roman" w:hAnsi="Times New Roman"/>
        </w:rPr>
        <w:t>. By graduation, students will be able to identify the structure-property-processing-performance relationships for metallic, ceramic, polymeric and electronic materials.</w:t>
      </w:r>
    </w:p>
    <w:p w:rsidR="00F66ED0" w:rsidRPr="00934367" w:rsidRDefault="00F66ED0" w:rsidP="00F66ED0">
      <w:pPr>
        <w:spacing w:after="60"/>
        <w:ind w:left="360" w:right="576"/>
        <w:jc w:val="both"/>
        <w:rPr>
          <w:rFonts w:ascii="Times New Roman" w:hAnsi="Times New Roman"/>
        </w:rPr>
      </w:pPr>
      <w:r>
        <w:rPr>
          <w:rFonts w:ascii="Times New Roman" w:hAnsi="Times New Roman"/>
        </w:rPr>
        <w:t>3</w:t>
      </w:r>
      <w:r w:rsidRPr="00934367">
        <w:rPr>
          <w:rFonts w:ascii="Times New Roman" w:hAnsi="Times New Roman"/>
        </w:rPr>
        <w:t>. By graduation, students will be able to demonstrate knowledge of thermodynamics and kinetics relevant to MSE.</w:t>
      </w:r>
    </w:p>
    <w:p w:rsidR="00F66ED0" w:rsidRPr="00934367" w:rsidRDefault="00F66ED0" w:rsidP="00F66ED0">
      <w:pPr>
        <w:spacing w:after="60"/>
        <w:ind w:left="360" w:right="576"/>
        <w:jc w:val="both"/>
        <w:rPr>
          <w:rFonts w:ascii="Times New Roman" w:hAnsi="Times New Roman"/>
        </w:rPr>
      </w:pPr>
      <w:r>
        <w:rPr>
          <w:rFonts w:ascii="Times New Roman" w:hAnsi="Times New Roman"/>
        </w:rPr>
        <w:t>4</w:t>
      </w:r>
      <w:r w:rsidRPr="00934367">
        <w:rPr>
          <w:rFonts w:ascii="Times New Roman" w:hAnsi="Times New Roman"/>
        </w:rPr>
        <w:t>. By graduation, students will be able to apply computer modeling programs and other computer-based tools to solve materials-related problems.</w:t>
      </w:r>
    </w:p>
    <w:p w:rsidR="00F66ED0" w:rsidRPr="00934367" w:rsidRDefault="00F66ED0" w:rsidP="00F66ED0">
      <w:pPr>
        <w:spacing w:after="60"/>
        <w:ind w:left="360" w:right="576"/>
        <w:jc w:val="both"/>
        <w:rPr>
          <w:rFonts w:ascii="Times New Roman" w:hAnsi="Times New Roman"/>
        </w:rPr>
      </w:pPr>
      <w:r>
        <w:rPr>
          <w:rFonts w:ascii="Times New Roman" w:hAnsi="Times New Roman"/>
        </w:rPr>
        <w:t>5</w:t>
      </w:r>
      <w:r w:rsidRPr="00934367">
        <w:rPr>
          <w:rFonts w:ascii="Times New Roman" w:hAnsi="Times New Roman"/>
        </w:rPr>
        <w:t>. By graduation, students will be able to select an appropriate material for a given application.</w:t>
      </w:r>
    </w:p>
    <w:p w:rsidR="00F66ED0" w:rsidRPr="00934367" w:rsidRDefault="00F66ED0" w:rsidP="00F66ED0">
      <w:pPr>
        <w:spacing w:after="60"/>
        <w:ind w:left="360" w:right="576"/>
        <w:jc w:val="both"/>
        <w:rPr>
          <w:rFonts w:ascii="Times New Roman" w:hAnsi="Times New Roman"/>
        </w:rPr>
      </w:pPr>
      <w:r>
        <w:rPr>
          <w:rFonts w:ascii="Times New Roman" w:hAnsi="Times New Roman"/>
        </w:rPr>
        <w:t>6</w:t>
      </w:r>
      <w:r w:rsidRPr="00934367">
        <w:rPr>
          <w:rFonts w:ascii="Times New Roman" w:hAnsi="Times New Roman"/>
        </w:rPr>
        <w:t>. By graduation, students will be able to apply basic microscopy, diffraction and spectroscopy methods for analysis of the structure of materials at various size scales.</w:t>
      </w:r>
    </w:p>
    <w:p w:rsidR="00F66ED0" w:rsidRPr="00934367" w:rsidRDefault="00F66ED0" w:rsidP="00F66ED0">
      <w:pPr>
        <w:spacing w:after="60"/>
        <w:ind w:left="360" w:right="576"/>
        <w:jc w:val="both"/>
        <w:rPr>
          <w:rFonts w:ascii="Times New Roman" w:hAnsi="Times New Roman"/>
        </w:rPr>
      </w:pPr>
      <w:r>
        <w:rPr>
          <w:rFonts w:ascii="Times New Roman" w:hAnsi="Times New Roman"/>
        </w:rPr>
        <w:t>7</w:t>
      </w:r>
      <w:r w:rsidRPr="00934367">
        <w:rPr>
          <w:rFonts w:ascii="Times New Roman" w:hAnsi="Times New Roman"/>
        </w:rPr>
        <w:t>. By graduation, students will demonstrate familiarity with methods used to analyze mechanical, thermal, electrical and magnetic properties of materials.</w:t>
      </w:r>
    </w:p>
    <w:p w:rsidR="00F66ED0" w:rsidRPr="00934367" w:rsidRDefault="00F66ED0" w:rsidP="00F66ED0">
      <w:pPr>
        <w:spacing w:after="60"/>
        <w:ind w:left="360" w:right="576"/>
        <w:jc w:val="both"/>
        <w:rPr>
          <w:rFonts w:ascii="Times New Roman" w:hAnsi="Times New Roman"/>
        </w:rPr>
      </w:pPr>
      <w:r>
        <w:rPr>
          <w:rFonts w:ascii="Times New Roman" w:hAnsi="Times New Roman"/>
        </w:rPr>
        <w:t>8</w:t>
      </w:r>
      <w:r w:rsidRPr="00934367">
        <w:rPr>
          <w:rFonts w:ascii="Times New Roman" w:hAnsi="Times New Roman"/>
        </w:rPr>
        <w:t>. By graduation, students will be able to articulate the basic processing methods for selected classes of materials that interest them, and explain how processing parameters can affect structure and properties.</w:t>
      </w:r>
    </w:p>
    <w:p w:rsidR="00F66ED0" w:rsidRPr="00934367" w:rsidRDefault="00F66ED0" w:rsidP="00F66ED0">
      <w:pPr>
        <w:spacing w:after="60"/>
        <w:ind w:left="360" w:right="576"/>
        <w:jc w:val="both"/>
        <w:rPr>
          <w:rFonts w:ascii="Times New Roman" w:hAnsi="Times New Roman"/>
        </w:rPr>
      </w:pPr>
      <w:r>
        <w:rPr>
          <w:rFonts w:ascii="Times New Roman" w:hAnsi="Times New Roman"/>
        </w:rPr>
        <w:t>9</w:t>
      </w:r>
      <w:r w:rsidRPr="00934367">
        <w:rPr>
          <w:rFonts w:ascii="Times New Roman" w:hAnsi="Times New Roman"/>
        </w:rPr>
        <w:t>. By graduation, students will be able to demonstrate team-oriented skills.</w:t>
      </w:r>
    </w:p>
    <w:p w:rsidR="00F66ED0" w:rsidRPr="00934367" w:rsidRDefault="00F66ED0" w:rsidP="00F66ED0">
      <w:pPr>
        <w:spacing w:after="60"/>
        <w:ind w:left="360" w:right="576"/>
        <w:jc w:val="both"/>
        <w:rPr>
          <w:rFonts w:ascii="Times New Roman" w:hAnsi="Times New Roman"/>
        </w:rPr>
      </w:pPr>
      <w:r>
        <w:rPr>
          <w:rFonts w:ascii="Times New Roman" w:hAnsi="Times New Roman"/>
        </w:rPr>
        <w:t>10</w:t>
      </w:r>
      <w:r w:rsidRPr="00934367">
        <w:rPr>
          <w:rFonts w:ascii="Times New Roman" w:hAnsi="Times New Roman"/>
        </w:rPr>
        <w:t>. By graduation, students will be able to communicate orally with others within the discipline of MSE.</w:t>
      </w:r>
    </w:p>
    <w:p w:rsidR="00F66ED0" w:rsidRPr="00934367" w:rsidRDefault="00F66ED0" w:rsidP="00F66ED0">
      <w:pPr>
        <w:spacing w:after="60"/>
        <w:ind w:left="360" w:right="576"/>
        <w:jc w:val="both"/>
        <w:rPr>
          <w:rFonts w:ascii="Times New Roman" w:hAnsi="Times New Roman"/>
        </w:rPr>
      </w:pPr>
      <w:r>
        <w:rPr>
          <w:rFonts w:ascii="Times New Roman" w:hAnsi="Times New Roman"/>
        </w:rPr>
        <w:t>11</w:t>
      </w:r>
      <w:r w:rsidRPr="00934367">
        <w:rPr>
          <w:rFonts w:ascii="Times New Roman" w:hAnsi="Times New Roman"/>
        </w:rPr>
        <w:t>. By graduation, students will be able to communicate through writing with others within the discipline of MSE.</w:t>
      </w:r>
    </w:p>
    <w:p w:rsidR="00F66ED0" w:rsidRPr="00934367" w:rsidRDefault="00F66ED0" w:rsidP="00F66ED0">
      <w:pPr>
        <w:spacing w:after="60"/>
        <w:ind w:left="360" w:right="576"/>
        <w:jc w:val="both"/>
        <w:rPr>
          <w:rFonts w:ascii="Times New Roman" w:hAnsi="Times New Roman"/>
        </w:rPr>
      </w:pPr>
      <w:r>
        <w:rPr>
          <w:rFonts w:ascii="Times New Roman" w:hAnsi="Times New Roman"/>
        </w:rPr>
        <w:t>12</w:t>
      </w:r>
      <w:r w:rsidRPr="00934367">
        <w:rPr>
          <w:rFonts w:ascii="Times New Roman" w:hAnsi="Times New Roman"/>
        </w:rPr>
        <w:t>. By graduation, students will develop an appreciation for contemporary issues.</w:t>
      </w:r>
    </w:p>
    <w:p w:rsidR="00F66ED0" w:rsidRPr="00934367" w:rsidRDefault="00F66ED0" w:rsidP="00F66ED0">
      <w:pPr>
        <w:spacing w:after="60"/>
        <w:ind w:left="360" w:right="576"/>
        <w:jc w:val="both"/>
        <w:rPr>
          <w:rFonts w:ascii="Times New Roman" w:hAnsi="Times New Roman"/>
        </w:rPr>
      </w:pPr>
      <w:r>
        <w:rPr>
          <w:rFonts w:ascii="Times New Roman" w:hAnsi="Times New Roman"/>
        </w:rPr>
        <w:t>13</w:t>
      </w:r>
      <w:r w:rsidRPr="00934367">
        <w:rPr>
          <w:rFonts w:ascii="Times New Roman" w:hAnsi="Times New Roman"/>
        </w:rPr>
        <w:t>. By graduation, students will develop an appreciation for professional and ethical responsibility.</w:t>
      </w:r>
    </w:p>
    <w:p w:rsidR="00F66ED0" w:rsidRPr="00934367" w:rsidRDefault="00F66ED0" w:rsidP="00F66ED0">
      <w:pPr>
        <w:spacing w:after="60"/>
        <w:ind w:left="360" w:right="576"/>
        <w:jc w:val="both"/>
        <w:rPr>
          <w:rFonts w:ascii="Times New Roman" w:hAnsi="Times New Roman"/>
        </w:rPr>
      </w:pPr>
      <w:r>
        <w:rPr>
          <w:rFonts w:ascii="Times New Roman" w:hAnsi="Times New Roman"/>
        </w:rPr>
        <w:t>14</w:t>
      </w:r>
      <w:r w:rsidRPr="00934367">
        <w:rPr>
          <w:rFonts w:ascii="Times New Roman" w:hAnsi="Times New Roman"/>
        </w:rPr>
        <w:t>. By graduation, students will develop an appreciation of the impact of engineering solutions on society and the environment in a global context.</w:t>
      </w:r>
    </w:p>
    <w:p w:rsidR="00F66ED0" w:rsidRPr="00934367" w:rsidRDefault="00F66ED0" w:rsidP="00F66ED0">
      <w:pPr>
        <w:spacing w:after="60"/>
        <w:ind w:left="360" w:right="576"/>
        <w:jc w:val="both"/>
        <w:rPr>
          <w:rFonts w:ascii="Times New Roman" w:hAnsi="Times New Roman"/>
        </w:rPr>
      </w:pPr>
      <w:r>
        <w:rPr>
          <w:rFonts w:ascii="Times New Roman" w:hAnsi="Times New Roman"/>
        </w:rPr>
        <w:t>15</w:t>
      </w:r>
      <w:r w:rsidRPr="00934367">
        <w:rPr>
          <w:rFonts w:ascii="Times New Roman" w:hAnsi="Times New Roman"/>
        </w:rPr>
        <w:t>. By graduation, students will develop an appreciation for the importance of life-long learning.</w:t>
      </w:r>
    </w:p>
    <w:p w:rsidR="00F66ED0" w:rsidRDefault="00F66ED0" w:rsidP="00F66ED0">
      <w:pPr>
        <w:spacing w:after="60"/>
        <w:ind w:left="360" w:right="576"/>
        <w:jc w:val="both"/>
        <w:rPr>
          <w:rFonts w:ascii="Times New Roman" w:hAnsi="Times New Roman"/>
        </w:rPr>
      </w:pPr>
      <w:r>
        <w:rPr>
          <w:rFonts w:ascii="Times New Roman" w:hAnsi="Times New Roman"/>
        </w:rPr>
        <w:t>16</w:t>
      </w:r>
      <w:r w:rsidRPr="00934367">
        <w:rPr>
          <w:rFonts w:ascii="Times New Roman" w:hAnsi="Times New Roman"/>
        </w:rPr>
        <w:t>. By graduation, students who desire to attend graduate school will be accepted into reputable MSE graduate programs.</w:t>
      </w:r>
    </w:p>
    <w:p w:rsidR="00F66ED0" w:rsidRPr="00934367" w:rsidRDefault="00F66ED0" w:rsidP="00F66ED0">
      <w:pPr>
        <w:spacing w:after="60"/>
        <w:ind w:left="360" w:right="576"/>
        <w:jc w:val="both"/>
        <w:rPr>
          <w:rFonts w:ascii="Times New Roman" w:hAnsi="Times New Roman"/>
        </w:rPr>
      </w:pPr>
    </w:p>
    <w:p w:rsidR="00F66ED0" w:rsidRDefault="00F66ED0" w:rsidP="00F66ED0">
      <w:pPr>
        <w:pStyle w:val="BodyText2"/>
        <w:spacing w:after="0"/>
        <w:jc w:val="left"/>
        <w:rPr>
          <w:rFonts w:ascii="Arial" w:hAnsi="Arial"/>
          <w:b/>
          <w:sz w:val="28"/>
        </w:rPr>
      </w:pPr>
      <w:r>
        <w:rPr>
          <w:rFonts w:ascii="Arial" w:hAnsi="Arial"/>
          <w:b/>
          <w:sz w:val="28"/>
        </w:rPr>
        <w:br w:type="page"/>
      </w:r>
    </w:p>
    <w:p w:rsidR="00F66ED0" w:rsidRDefault="00F66ED0" w:rsidP="00F66ED0">
      <w:pPr>
        <w:pStyle w:val="BodyText2"/>
        <w:spacing w:after="0"/>
        <w:jc w:val="center"/>
        <w:rPr>
          <w:rFonts w:ascii="Arial" w:hAnsi="Arial"/>
          <w:b/>
          <w:sz w:val="28"/>
        </w:rPr>
      </w:pPr>
      <w:r>
        <w:rPr>
          <w:rFonts w:ascii="Arial" w:hAnsi="Arial"/>
          <w:b/>
          <w:sz w:val="28"/>
        </w:rPr>
        <w:t>Learning outcomes addressed by each MSE course</w:t>
      </w:r>
    </w:p>
    <w:p w:rsidR="00F66ED0" w:rsidRDefault="00F66ED0">
      <w:pPr>
        <w:pStyle w:val="BodyText2"/>
        <w:spacing w:after="0"/>
        <w:jc w:val="center"/>
        <w:rPr>
          <w:rFonts w:ascii="Arial" w:hAnsi="Arial"/>
          <w:b/>
          <w:sz w:val="28"/>
        </w:rPr>
      </w:pPr>
    </w:p>
    <w:p w:rsidR="00F66ED0" w:rsidRDefault="00F66ED0">
      <w:pPr>
        <w:pStyle w:val="BodyText2"/>
        <w:spacing w:after="0"/>
        <w:jc w:val="center"/>
        <w:rPr>
          <w:rFonts w:ascii="Arial" w:hAnsi="Arial"/>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880"/>
        <w:gridCol w:w="4032"/>
      </w:tblGrid>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b/>
                <w:sz w:val="20"/>
              </w:rPr>
            </w:pPr>
            <w:r>
              <w:rPr>
                <w:rFonts w:ascii="Arial" w:hAnsi="Arial"/>
                <w:b/>
                <w:sz w:val="20"/>
              </w:rPr>
              <w:t>MSE course</w:t>
            </w:r>
          </w:p>
        </w:tc>
        <w:tc>
          <w:tcPr>
            <w:tcW w:w="2880" w:type="dxa"/>
            <w:vAlign w:val="center"/>
          </w:tcPr>
          <w:p w:rsidR="00F66ED0" w:rsidRDefault="00F66ED0">
            <w:pPr>
              <w:pStyle w:val="BodyText2"/>
              <w:spacing w:after="0"/>
              <w:jc w:val="center"/>
              <w:rPr>
                <w:rFonts w:ascii="Arial" w:hAnsi="Arial"/>
                <w:b/>
                <w:sz w:val="20"/>
              </w:rPr>
            </w:pPr>
            <w:r>
              <w:rPr>
                <w:rFonts w:ascii="Arial" w:hAnsi="Arial"/>
                <w:b/>
                <w:sz w:val="20"/>
              </w:rPr>
              <w:t>Outcome(s) addressed</w:t>
            </w:r>
          </w:p>
        </w:tc>
        <w:tc>
          <w:tcPr>
            <w:tcW w:w="4032" w:type="dxa"/>
            <w:vAlign w:val="center"/>
          </w:tcPr>
          <w:p w:rsidR="00F66ED0" w:rsidRDefault="00F66ED0">
            <w:pPr>
              <w:pStyle w:val="BodyText2"/>
              <w:spacing w:after="0"/>
              <w:jc w:val="center"/>
              <w:rPr>
                <w:rFonts w:ascii="Arial" w:hAnsi="Arial"/>
                <w:b/>
                <w:sz w:val="20"/>
              </w:rPr>
            </w:pPr>
            <w:r>
              <w:rPr>
                <w:rFonts w:ascii="Arial" w:hAnsi="Arial"/>
                <w:b/>
                <w:sz w:val="20"/>
              </w:rPr>
              <w:t>Assessment method to use</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255</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6, 11</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lab report rubric</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260</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1, 4</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270</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10, 11, 12</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other</w:t>
            </w:r>
          </w:p>
        </w:tc>
      </w:tr>
      <w:tr w:rsidR="00F66ED0">
        <w:tblPrEx>
          <w:tblCellMar>
            <w:top w:w="0" w:type="dxa"/>
            <w:bottom w:w="0" w:type="dxa"/>
          </w:tblCellMar>
        </w:tblPrEx>
        <w:trPr>
          <w:trHeight w:val="432"/>
          <w:jc w:val="center"/>
        </w:trPr>
        <w:tc>
          <w:tcPr>
            <w:tcW w:w="1440" w:type="dxa"/>
            <w:vAlign w:val="center"/>
          </w:tcPr>
          <w:p w:rsidR="00F66ED0" w:rsidRDefault="00F66ED0" w:rsidP="00F66ED0">
            <w:pPr>
              <w:pStyle w:val="BodyText2"/>
              <w:spacing w:after="0"/>
              <w:jc w:val="center"/>
              <w:rPr>
                <w:rFonts w:ascii="Arial" w:hAnsi="Arial"/>
                <w:sz w:val="20"/>
              </w:rPr>
            </w:pPr>
            <w:r>
              <w:rPr>
                <w:rFonts w:ascii="Arial" w:hAnsi="Arial"/>
                <w:sz w:val="20"/>
              </w:rPr>
              <w:t>300</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2</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301</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3</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320</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2</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335</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7, 11</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lab report rubric</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355</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2</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360</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1, 3</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370</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2</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380</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2</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420</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2</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423</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5, 9, 10, 11</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other</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440</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8</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445</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8</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455</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8</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456</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8</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460</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8</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470</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9, 10, 11</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other</w:t>
            </w:r>
          </w:p>
        </w:tc>
      </w:tr>
      <w:tr w:rsidR="00F66ED0">
        <w:tblPrEx>
          <w:tblCellMar>
            <w:top w:w="0" w:type="dxa"/>
            <w:bottom w:w="0" w:type="dxa"/>
          </w:tblCellMar>
        </w:tblPrEx>
        <w:trPr>
          <w:trHeight w:val="432"/>
          <w:jc w:val="center"/>
        </w:trPr>
        <w:tc>
          <w:tcPr>
            <w:tcW w:w="1440" w:type="dxa"/>
            <w:vAlign w:val="center"/>
          </w:tcPr>
          <w:p w:rsidR="00F66ED0" w:rsidRDefault="00F66ED0">
            <w:pPr>
              <w:pStyle w:val="BodyText2"/>
              <w:spacing w:after="0"/>
              <w:jc w:val="center"/>
              <w:rPr>
                <w:rFonts w:ascii="Arial" w:hAnsi="Arial"/>
                <w:sz w:val="20"/>
              </w:rPr>
            </w:pPr>
            <w:r>
              <w:rPr>
                <w:rFonts w:ascii="Arial" w:hAnsi="Arial"/>
                <w:sz w:val="20"/>
              </w:rPr>
              <w:t>480</w:t>
            </w:r>
          </w:p>
        </w:tc>
        <w:tc>
          <w:tcPr>
            <w:tcW w:w="2880" w:type="dxa"/>
            <w:vAlign w:val="center"/>
          </w:tcPr>
          <w:p w:rsidR="00F66ED0" w:rsidRDefault="00F66ED0">
            <w:pPr>
              <w:pStyle w:val="BodyText2"/>
              <w:spacing w:after="0"/>
              <w:jc w:val="center"/>
              <w:rPr>
                <w:rFonts w:ascii="Arial" w:hAnsi="Arial"/>
                <w:sz w:val="20"/>
              </w:rPr>
            </w:pPr>
            <w:r>
              <w:rPr>
                <w:rFonts w:ascii="Arial" w:hAnsi="Arial"/>
                <w:sz w:val="20"/>
              </w:rPr>
              <w:t>2, 3</w:t>
            </w:r>
          </w:p>
        </w:tc>
        <w:tc>
          <w:tcPr>
            <w:tcW w:w="4032" w:type="dxa"/>
            <w:vAlign w:val="center"/>
          </w:tcPr>
          <w:p w:rsidR="00F66ED0" w:rsidRDefault="00F66ED0">
            <w:pPr>
              <w:pStyle w:val="BodyText2"/>
              <w:spacing w:after="0"/>
              <w:jc w:val="center"/>
              <w:rPr>
                <w:rFonts w:ascii="Arial" w:hAnsi="Arial"/>
                <w:sz w:val="20"/>
              </w:rPr>
            </w:pPr>
            <w:r>
              <w:rPr>
                <w:rFonts w:ascii="Arial" w:hAnsi="Arial"/>
                <w:sz w:val="20"/>
              </w:rPr>
              <w:t>selected homework and exam problems</w:t>
            </w:r>
          </w:p>
        </w:tc>
      </w:tr>
    </w:tbl>
    <w:p w:rsidR="00F66ED0" w:rsidRDefault="00F66ED0">
      <w:pPr>
        <w:pStyle w:val="BodyText2"/>
        <w:spacing w:after="0"/>
        <w:jc w:val="center"/>
        <w:rPr>
          <w:rFonts w:ascii="Arial" w:hAnsi="Arial"/>
          <w:b/>
          <w:sz w:val="28"/>
        </w:rPr>
      </w:pPr>
    </w:p>
    <w:p w:rsidR="00F66ED0" w:rsidRDefault="00F66ED0">
      <w:pPr>
        <w:spacing w:after="60" w:line="280" w:lineRule="exact"/>
        <w:jc w:val="both"/>
      </w:pPr>
    </w:p>
    <w:sectPr w:rsidR="00F66ED0" w:rsidSect="00F66ED0">
      <w:footerReference w:type="even" r:id="rId5"/>
      <w:footerReference w:type="default" r:id="rId6"/>
      <w:pgSz w:w="12240" w:h="15840"/>
      <w:pgMar w:top="1008" w:right="1080" w:bottom="1008" w:left="1080" w:footer="1008" w:gutter="0"/>
      <w:pgNumType w:start="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0" w:rsidRDefault="00F66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6ED0" w:rsidRDefault="00F66ED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D0" w:rsidRDefault="00F66ED0">
    <w:pPr>
      <w:pStyle w:val="Footer"/>
      <w:framePr w:wrap="around" w:vAnchor="text" w:hAnchor="margin" w:xAlign="center" w:y="1"/>
      <w:rPr>
        <w:rStyle w:val="PageNumber"/>
        <w:sz w:val="20"/>
      </w:rPr>
    </w:pPr>
    <w:r>
      <w:rPr>
        <w:rStyle w:val="PageNumber"/>
        <w:sz w:val="20"/>
      </w:rPr>
      <w:t>-</w:t>
    </w:r>
    <w:r>
      <w:rPr>
        <w:rStyle w:val="PageNumber"/>
        <w:sz w:val="20"/>
      </w:rPr>
      <w:fldChar w:fldCharType="begin"/>
    </w:r>
    <w:r>
      <w:rPr>
        <w:rStyle w:val="PageNumber"/>
        <w:sz w:val="20"/>
      </w:rPr>
      <w:instrText xml:space="preserve">PAGE  </w:instrText>
    </w:r>
    <w:r>
      <w:rPr>
        <w:rStyle w:val="PageNumber"/>
        <w:sz w:val="20"/>
      </w:rPr>
      <w:fldChar w:fldCharType="separate"/>
    </w:r>
    <w:r w:rsidR="00327769">
      <w:rPr>
        <w:rStyle w:val="PageNumber"/>
        <w:noProof/>
        <w:sz w:val="20"/>
      </w:rPr>
      <w:t>1</w:t>
    </w:r>
    <w:r>
      <w:rPr>
        <w:rStyle w:val="PageNumber"/>
        <w:sz w:val="20"/>
      </w:rPr>
      <w:fldChar w:fldCharType="end"/>
    </w:r>
    <w:r>
      <w:rPr>
        <w:rStyle w:val="PageNumber"/>
        <w:sz w:val="20"/>
      </w:rPr>
      <w:t>-</w:t>
    </w:r>
  </w:p>
  <w:p w:rsidR="00F66ED0" w:rsidRDefault="00F66ED0">
    <w:pPr>
      <w:pStyle w:val="Footer"/>
      <w:rPr>
        <w:sz w:val="18"/>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31B5C0D"/>
    <w:multiLevelType w:val="hybridMultilevel"/>
    <w:tmpl w:val="EE107A1E"/>
    <w:lvl w:ilvl="0" w:tplc="6EFE6F7E">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E17640"/>
    <w:rsid w:val="00327769"/>
    <w:rsid w:val="00F66ED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line="280" w:lineRule="exact"/>
      <w:jc w:val="both"/>
      <w:outlineLvl w:val="0"/>
    </w:pPr>
    <w:rPr>
      <w:b/>
      <w:sz w:val="18"/>
    </w:rPr>
  </w:style>
  <w:style w:type="paragraph" w:styleId="Heading2">
    <w:name w:val="heading 2"/>
    <w:basedOn w:val="Normal"/>
    <w:next w:val="Normal"/>
    <w:qFormat/>
    <w:pPr>
      <w:keepNext/>
      <w:spacing w:line="280" w:lineRule="exact"/>
      <w:jc w:val="center"/>
      <w:outlineLvl w:val="1"/>
    </w:pPr>
    <w:rPr>
      <w:b/>
    </w:rPr>
  </w:style>
  <w:style w:type="paragraph" w:styleId="Heading3">
    <w:name w:val="heading 3"/>
    <w:basedOn w:val="Normal"/>
    <w:next w:val="Normal"/>
    <w:qFormat/>
    <w:pPr>
      <w:keepNext/>
      <w:spacing w:after="60" w:line="280" w:lineRule="exact"/>
      <w:ind w:left="2520" w:hanging="2520"/>
      <w:jc w:val="center"/>
      <w:outlineLvl w:val="2"/>
    </w:pPr>
    <w:rPr>
      <w:b/>
    </w:rPr>
  </w:style>
  <w:style w:type="paragraph" w:styleId="Heading4">
    <w:name w:val="heading 4"/>
    <w:basedOn w:val="Normal"/>
    <w:next w:val="Normal"/>
    <w:qFormat/>
    <w:pPr>
      <w:keepNext/>
      <w:spacing w:after="120" w:line="400" w:lineRule="exact"/>
      <w:jc w:val="center"/>
      <w:outlineLvl w:val="3"/>
    </w:pPr>
    <w:rPr>
      <w:rFonts w:ascii="Arial" w:hAnsi="Arial"/>
      <w:sz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40" w:lineRule="exact"/>
      <w:jc w:val="both"/>
    </w:pPr>
    <w:rPr>
      <w:sz w:val="18"/>
    </w:rPr>
  </w:style>
  <w:style w:type="paragraph" w:styleId="BodyTextIndent">
    <w:name w:val="Body Text Indent"/>
    <w:basedOn w:val="Normal"/>
    <w:pPr>
      <w:spacing w:line="280" w:lineRule="exact"/>
      <w:ind w:left="2160" w:hanging="2160"/>
      <w:jc w:val="both"/>
    </w:pPr>
  </w:style>
  <w:style w:type="character" w:styleId="PageNumber">
    <w:name w:val="page number"/>
    <w:basedOn w:val="DefaultParagraphFont"/>
  </w:style>
  <w:style w:type="paragraph" w:styleId="BodyText2">
    <w:name w:val="Body Text 2"/>
    <w:basedOn w:val="Normal"/>
    <w:pPr>
      <w:spacing w:after="60" w:line="280" w:lineRule="exact"/>
      <w:jc w:val="both"/>
    </w:pPr>
  </w:style>
  <w:style w:type="paragraph" w:styleId="Title">
    <w:name w:val="Title"/>
    <w:basedOn w:val="Normal"/>
    <w:qFormat/>
    <w:pPr>
      <w:spacing w:line="280" w:lineRule="exact"/>
      <w:jc w:val="center"/>
    </w:pPr>
    <w:rPr>
      <w:b/>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5150</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MATERIALS SCIENCE AND ENGINEERING OBJECTIVE #1</vt:lpstr>
    </vt:vector>
  </TitlesOfParts>
  <Company>NCSU-MSE</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SCIENCE AND ENGINEERING OBJECTIVE #1</dc:title>
  <dc:subject/>
  <dc:creator>C. M. Balik</dc:creator>
  <cp:keywords/>
  <cp:lastModifiedBy>Maury Balik</cp:lastModifiedBy>
  <cp:revision>2</cp:revision>
  <cp:lastPrinted>2011-05-06T14:13:00Z</cp:lastPrinted>
  <dcterms:created xsi:type="dcterms:W3CDTF">2011-05-18T14:02:00Z</dcterms:created>
  <dcterms:modified xsi:type="dcterms:W3CDTF">2011-05-18T14:02:00Z</dcterms:modified>
</cp:coreProperties>
</file>